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jpg" ContentType="image/jpeg"/>
  <Override PartName="/word/media/rId43.jpg" ContentType="image/jpeg"/>
  <Override PartName="/word/media/rId55.jpg" ContentType="image/jpeg"/>
  <Override PartName="/word/media/rId52.jpg" ContentType="image/jpeg"/>
  <Override PartName="/word/media/rId158.jpg" ContentType="image/jpeg"/>
  <Override PartName="/word/media/rId23.jpg" ContentType="image/jpeg"/>
  <Override PartName="/word/media/rId46.jpg" ContentType="image/jpeg"/>
  <Override PartName="/word/media/rId151.jpg" ContentType="image/jpeg"/>
  <Override PartName="/word/media/rId148.jpg" ContentType="image/jpeg"/>
  <Override PartName="/word/media/rId155.jpg" ContentType="image/jpeg"/>
  <Override PartName="/word/media/rId58.jpg" ContentType="image/jpeg"/>
  <Override PartName="/word/media/rId49.jpg" ContentType="image/jpeg"/>
  <Override PartName="/word/media/rId4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Josh</w:t>
      </w:r>
      <w:r>
        <w:t xml:space="preserve"> </w:t>
      </w:r>
      <w:r>
        <w:t xml:space="preserve">Carrell,</w:t>
      </w:r>
      <w:r>
        <w:t xml:space="preserve"> </w:t>
      </w:r>
      <w:r>
        <w:t xml:space="preserve">Maxwell</w:t>
      </w:r>
      <w:r>
        <w:t xml:space="preserve"> </w:t>
      </w:r>
      <w:r>
        <w:t xml:space="preserve">Cook</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bookmarkEnd w:id="21"/>
    <w:bookmarkStart w:id="22" w:name="introduction"/>
    <w:p>
      <w:pPr>
        <w:pStyle w:val="Heading1"/>
      </w:pPr>
      <w:r>
        <w:t xml:space="preserve">Introduction</w:t>
      </w:r>
    </w:p>
    <w:p>
      <w:pPr>
        <w:pStyle w:val="FirstParagraph"/>
      </w:pPr>
      <w:r>
        <w:t xml:space="preserve">Climate change is altering species distributions. Understanding how range shifts and population persistence is essential for adaptive management.</w:t>
      </w:r>
    </w:p>
    <w:p>
      <w:pPr>
        <w:pStyle w:val="BodyText"/>
      </w:pPr>
      <w:r>
        <w:t xml:space="preserve">Species distribution models (SDMs) have been widely used to identify suitable habitats (REF) and predict species range shifts (REF) and inform management practices (REF). Most of the published SDMs use data from herbaria, species atlases, field surveys, expert range maps, and citizen science as occurrence data</w:t>
      </w:r>
      <w:r>
        <w:t xml:space="preserve"> </w:t>
      </w:r>
      <w:r>
        <w:t xml:space="preserve">(</w:t>
      </w:r>
      <w:hyperlink w:anchor="ref-he2015WillRemoteSensing">
        <w:r>
          <w:rPr>
            <w:rStyle w:val="Hyperlink"/>
          </w:rPr>
          <w:t xml:space="preserve">He et al., 2015</w:t>
        </w:r>
      </w:hyperlink>
      <w:r>
        <w:t xml:space="preserve">)</w:t>
      </w:r>
      <w:r>
        <w:t xml:space="preserve">, however more recently data from remote sensing have been used to produce SDMs</w:t>
      </w:r>
      <w:r>
        <w:t xml:space="preserve"> </w:t>
      </w:r>
      <w:r>
        <w:t xml:space="preserve">(</w:t>
      </w:r>
      <w:hyperlink w:anchor="X5c32a085163f7984ef94bffa6e18a48d36b3eb2">
        <w:r>
          <w:rPr>
            <w:rStyle w:val="Hyperlink"/>
          </w:rPr>
          <w:t xml:space="preserve">Bradley and Mustard, 2006</w:t>
        </w:r>
      </w:hyperlink>
      <w:r>
        <w:t xml:space="preserve">)</w:t>
      </w:r>
      <w:r>
        <w:t xml:space="preserve">. While remotely derived species occurrence data includes error, typically due to data acquisition and processing. Relative to atlas and herbaria data, remotely sensed species occurrence has several advantages. First, remotely sensed data provides both presence and absence data, while many of the other datasets commonly used only include species presence</w:t>
      </w:r>
      <w:r>
        <w:t xml:space="preserve"> </w:t>
      </w:r>
      <w:r>
        <w:t xml:space="preserve">(</w:t>
      </w:r>
      <w:hyperlink w:anchor="ref-he2015WillRemoteSensing">
        <w:r>
          <w:rPr>
            <w:rStyle w:val="Hyperlink"/>
          </w:rPr>
          <w:t xml:space="preserve">He et al., 2015</w:t>
        </w:r>
      </w:hyperlink>
      <w:r>
        <w:t xml:space="preserve">)</w:t>
      </w:r>
      <w:r>
        <w:t xml:space="preserve">. Further data from field surveys are often spatially biased. Third, spatially continuous data products can allow for more robust assessments of future range shifts by incorporating locations of known populations and information on dispersal distances.</w:t>
      </w:r>
    </w:p>
    <w:p>
      <w:pPr>
        <w:pStyle w:val="BodyText"/>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bookmarkEnd w:id="22"/>
    <w:bookmarkStart w:id="39"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 is generally greatest at low elevations, while total annual precipitation is generally greatest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topoclimatic variation drives tree species composition.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w:t>
      </w:r>
      <w:r>
        <w:t xml:space="preserve">Forests dynamics across the SRME are strongly shaped by climate-sensitive disturbances, notably wildfires, outbreaks of native bark beetles, and windstorms</w:t>
      </w:r>
      <w:r>
        <w:t xml:space="preserve"> </w:t>
      </w:r>
      <w:r>
        <w:t xml:space="preserve">(</w:t>
      </w:r>
      <w:hyperlink w:anchor="ref-baker1990">
        <w:r>
          <w:rPr>
            <w:rStyle w:val="Hyperlink"/>
          </w:rPr>
          <w:t xml:space="preserve">Baker and Veblen, 1990</w:t>
        </w:r>
      </w:hyperlink>
      <w:r>
        <w:t xml:space="preserve">;</w:t>
      </w:r>
      <w:r>
        <w:t xml:space="preserve"> </w:t>
      </w:r>
      <w:hyperlink w:anchor="ref-peet1981ForestVegetationColorado">
        <w:r>
          <w:rPr>
            <w:rStyle w:val="Hyperlink"/>
          </w:rPr>
          <w:t xml:space="preserve">Peet, 1981</w:t>
        </w:r>
      </w:hyperlink>
      <w:r>
        <w:t xml:space="preserve">;</w:t>
      </w:r>
      <w:r>
        <w:t xml:space="preserve"> </w:t>
      </w:r>
      <w:hyperlink w:anchor="ref-veblen2000ClimaticHumanInfluences">
        <w:r>
          <w:rPr>
            <w:rStyle w:val="Hyperlink"/>
          </w:rPr>
          <w:t xml:space="preserve">Veblen et al., 2000</w:t>
        </w:r>
      </w:hyperlink>
      <w:r>
        <w:t xml:space="preserve">;</w:t>
      </w:r>
      <w:r>
        <w:t xml:space="preserve"> </w:t>
      </w:r>
      <w:hyperlink w:anchor="X6d15166298ccfaa854e56f5197e8b0dbab0811c">
        <w:r>
          <w:rPr>
            <w:rStyle w:val="Hyperlink"/>
          </w:rPr>
          <w:t xml:space="preserve">Veblen et al., 1994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30" w:name="data"/>
    <w:p>
      <w:pPr>
        <w:pStyle w:val="Heading2"/>
      </w:pPr>
      <w:r>
        <w:t xml:space="preserve">Data</w:t>
      </w:r>
    </w:p>
    <w:bookmarkStart w:id="27" w:name="species-occurrence-data"/>
    <w:p>
      <w:pPr>
        <w:pStyle w:val="Heading3"/>
      </w:pPr>
      <w:r>
        <w:t xml:space="preserve">Species occurrence data</w:t>
      </w:r>
    </w:p>
    <w:p>
      <w:pPr>
        <w:pStyle w:val="FirstParagraph"/>
      </w:pPr>
      <w:r>
        <w:t xml:space="preserve">To build SDMs, we used a 10-m gridded map of aspen presence/absence produced by Cook et al. [in review]. Briefly, this dataset was produced by xyz. The map is characterized by an overall accuracy of XX.</w:t>
      </w:r>
    </w:p>
    <w:p>
      <w:pPr>
        <w:pStyle w:val="BodyText"/>
      </w:pPr>
      <w:r>
        <w:t xml:space="preserve">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7"/>
    <w:bookmarkStart w:id="28" w:name="predictor-variables"/>
    <w:p>
      <w:pPr>
        <w:pStyle w:val="Heading3"/>
      </w:pPr>
      <w:r>
        <w:t xml:space="preserve">Predictor variables</w:t>
      </w:r>
    </w:p>
    <w:p>
      <w:pPr>
        <w:pStyle w:val="FirstParagraph"/>
      </w:pPr>
      <w:r>
        <w:t xml:space="preserve">To understand and project the relationship between aspen and climate under historical and future conditions,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which provides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Current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due differences in complexity, assumptions, and parameterization. Thus not all AOGCMS are equally useful for regional planning purposes. For instance predictions made by some AOGCMs are believed to overestimate future warming</w:t>
      </w:r>
      <w:r>
        <w:t xml:space="preserve"> </w:t>
      </w:r>
      <w:r>
        <w:t xml:space="preserve">(</w:t>
      </w:r>
      <w:hyperlink w:anchor="X0773c8e2ab11f078ec717d59314f0220fe06795">
        <w:r>
          <w:rPr>
            <w:rStyle w:val="Hyperlink"/>
          </w:rPr>
          <w:t xml:space="preserve">Hausfather et al., 2022</w:t>
        </w:r>
      </w:hyperlink>
      <w:r>
        <w:t xml:space="preserve">)</w:t>
      </w:r>
      <w:r>
        <w:t xml:space="preserve">. Further AOCGMs differ in the number of simulations for the historical period, amount of bias, and spatial grain</w:t>
      </w:r>
      <w:r>
        <w:t xml:space="preserve"> </w:t>
      </w:r>
      <w:r>
        <w:t xml:space="preserve">(</w:t>
      </w:r>
      <w:hyperlink w:anchor="ref-mahony2022GlobalClimateModel">
        <w:r>
          <w:rPr>
            <w:rStyle w:val="Hyperlink"/>
          </w:rPr>
          <w:t xml:space="preserve">Mahony et al., 2022</w:t>
        </w:r>
      </w:hyperlink>
      <w:r>
        <w:t xml:space="preserve">)</w:t>
      </w:r>
      <w:r>
        <w:t xml:space="preserve">. Here we make use of an ensemble data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such as species distribution modeling.</w:t>
      </w:r>
    </w:p>
    <w:p>
      <w:pPr>
        <w:pStyle w:val="BodyText"/>
      </w:pPr>
      <w:r>
        <w:t xml:space="preserve">To characterize the climate space that aspen occupies, we examined 34 biologically relevant climate variables commonly used in species distribution models (Table</w:t>
      </w:r>
      <w:r>
        <w:t xml:space="preserve"> </w:t>
      </w:r>
      <w:r>
        <w:t xml:space="preserve">??</w:t>
      </w:r>
      <w:r>
        <w:t xml:space="preserve">. Broadly, these variables characterize the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w:t>
      </w:r>
      <w:r>
        <w:t xml:space="preserve">. Where evidence was similar, we used univariate random forest (RF) models to evaluate the potential explanatory power of each predictor and congruence with hypothesized relationships (for more details see Appendix</w:t>
      </w:r>
      <w:r>
        <w:t xml:space="preserve"> </w:t>
      </w:r>
      <w:r>
        <w:t xml:space="preserve">??</w:t>
      </w:r>
      <w:r>
        <w:t xml:space="preserve">. The resulting dataset consisted of five climate variables, an annual dryness index (ADI), growing season precipitation (GSP), the ratio of GSP to degree days above 5 °C (GSPDD5), the ratio of GSP to mean annual precipitation (PRATIO), mean annual relative humidity (RH), and the difference between the mean coldest month temperature and the mean warmest month temperature (TD) (Table</w:t>
      </w:r>
      <w:r>
        <w:t xml:space="preserve"> </w:t>
      </w:r>
      <w:r>
        <w:t xml:space="preserve">??</w:t>
      </w:r>
      <w:r>
        <w:t xml:space="preserve">).</w:t>
      </w:r>
    </w:p>
    <w:p>
      <w:pPr>
        <w:pStyle w:val="BodyText"/>
      </w:pPr>
      <w:r>
        <w:t xml:space="preserve">Given mountainous areas such as the Southern Rocky Mountains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30-m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 we use the DEM 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microclimate,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 spatialeco package</w:t>
      </w:r>
      <w:r>
        <w:t xml:space="preserve"> </w:t>
      </w:r>
      <w:r>
        <w:t xml:space="preserve">(</w:t>
      </w:r>
      <w:hyperlink w:anchor="ref-spatialEco">
        <w:r>
          <w:rPr>
            <w:rStyle w:val="Hyperlink"/>
          </w:rPr>
          <w:t xml:space="preserve">Evans and Murphy, 2021</w:t>
        </w:r>
      </w:hyperlink>
      <w:r>
        <w:t xml:space="preserve">)</w:t>
      </w:r>
      <w:r>
        <w:t xml:space="preserve">. We also included soil properties in our models of aspen habitat suitability. Specifically,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Instead we compare model residuals with these variables.</w:t>
      </w:r>
    </w:p>
    <w:p>
      <w:pPr>
        <w:pStyle w:val="TableCaption"/>
      </w:pPr>
      <w:r>
        <w:t xml:space="preserve">Table 1:</w:t>
      </w:r>
      <w:r>
        <w:t xml:space="preserve"> </w:t>
      </w:r>
      <w:r>
        <w:t xml:space="preserve">Predictor variables selected for modeling the distribution of aspen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 moisture stress may be lower in locations with greater growning season precipitaiton and shorter a growing season (i.e., high GSPDD5) may   (Rehfeldt et al. 2009).</w:t>
            </w:r>
          </w:p>
        </w:tc>
      </w:tr>
      <w:tr>
        <w:trPr>
          <w:trHeight w:val="4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relative humidity may limit seasonal moisture stress.</w:t>
            </w:r>
          </w:p>
        </w:tc>
      </w:tr>
      <w:tr>
        <w:trPr>
          <w:trHeight w:val="4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(2015) and Worrall et al. (2013)</w:t>
            </w:r>
          </w:p>
        </w:tc>
      </w:tr>
      <w:tr>
        <w:trPr>
          <w:trHeight w:val="415"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contents may inhibit aspen growth (Jones and DeByle 1985)</w:t>
            </w:r>
          </w:p>
        </w:tc>
      </w:tr>
      <w:tr>
        <w:trPr>
          <w:trHeight w:val="41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warmer sites</w:t>
            </w:r>
          </w:p>
        </w:tc>
      </w:tr>
      <w:tr>
        <w:trPr>
          <w:trHeight w:val="415"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 calculated using a 3 x 3 cell neighborhood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(Jones and DeByle 1985)</w:t>
            </w:r>
          </w:p>
        </w:tc>
      </w:tr>
    </w:tbl>
    <w:bookmarkEnd w:id="28"/>
    <w:bookmarkStart w:id="29" w:name="data-processing"/>
    <w:p>
      <w:pPr>
        <w:pStyle w:val="Heading3"/>
      </w:pPr>
      <w:r>
        <w:t xml:space="preserve">Data processing</w:t>
      </w:r>
    </w:p>
    <w:bookmarkEnd w:id="29"/>
    <w:bookmarkEnd w:id="30"/>
    <w:bookmarkStart w:id="37" w:name="modeling-approach"/>
    <w:p>
      <w:pPr>
        <w:pStyle w:val="Heading2"/>
      </w:pPr>
      <w:r>
        <w:t xml:space="preserve">Modeling Approach</w:t>
      </w:r>
    </w:p>
    <w:bookmarkStart w:id="31" w:name="overview"/>
    <w:p>
      <w:pPr>
        <w:pStyle w:val="Heading4"/>
      </w:pPr>
      <w:r>
        <w:t xml:space="preserve">Overview</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the</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modeling fit and interpretability, all predictor variables were standardized by calculating the z-score. Using this dataset, we reduced our set of topoclimatic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w:t>
        </w:r>
      </w:hyperlink>
      <w:r>
        <w:t xml:space="preserve">)</w:t>
      </w:r>
      <w:r>
        <w:t xml:space="preserve"> </w:t>
      </w:r>
      <w:r>
        <w:t xml:space="preserve">to identify variables with a variable inflation factor greater than 5. When these conditions were met, variables were removed preferentially (Table</w:t>
      </w:r>
      <w:r>
        <w:t xml:space="preserve"> </w:t>
      </w:r>
      <w:r>
        <w:t xml:space="preserve">1</w:t>
      </w:r>
      <w:r>
        <w:t xml:space="preserve">.</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parameters based on the area under the receiver operator curve. To evaluate model performance in three ways, we used three approaches, but for each approah calculated the following statistics: XX.. First, we used spatial cross-validation to evaluate the capacity of our model to predict to new areas. Second, we evaluated performance on the testing dataset. Third, we compared the predictions with an independent data set of aspen presence. In all cases, we calculated</w:t>
      </w:r>
    </w:p>
    <w:p>
      <w:pPr>
        <w:pStyle w:val="BodyText"/>
      </w:pPr>
      <w:r>
        <w:t xml:space="preserve">For each model we determined variable importance using a model-agnostic permutation-based approach, where each variable is randomized and then the ROC AUC statistic is compared with ROC AUC for the full model (where data has not been randomized). We evaluated the relationship between aspen presence and each predictor variable using accumulated local effects (ALE) profiles. Both variable importance and ALE were calculated in R using the DALEX package</w:t>
      </w:r>
      <w:r>
        <w:t xml:space="preserve"> </w:t>
      </w:r>
      <w:r>
        <w:t xml:space="preserve">(</w:t>
      </w:r>
      <w:hyperlink w:anchor="ref-DALEX">
        <w:r>
          <w:rPr>
            <w:rStyle w:val="Hyperlink"/>
          </w:rPr>
          <w:t xml:space="preserve">Biecek, 2018</w:t>
        </w:r>
      </w:hyperlink>
      <w:r>
        <w:t xml:space="preserve">)</w:t>
      </w:r>
      <w:r>
        <w:t xml:space="preserve">.</w:t>
      </w:r>
    </w:p>
    <w:bookmarkEnd w:id="31"/>
    <w:bookmarkStart w:id="32"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 Here we used GLMs with a logit link function and a binomial error distribution to account for the structure of presence-absence data. We included both linear and quadratic effects for all variables, but did not explore any interaction terms. We fit the GLM using a Lasso regularization approach, which allows for model coefficients to be reduced to zero, thereby controlling for model complexity and improving tradeoffs between bias (i.e., the difference between the mean prediction from a model and the true value) and variance (i.e., the variability surrounding a prediciton)</w:t>
      </w:r>
      <w:r>
        <w:t xml:space="preserve"> </w:t>
      </w:r>
      <w:r>
        <w:t xml:space="preserve">(</w:t>
      </w:r>
      <w:hyperlink w:anchor="X1bac580b2d504864f7c67f41ed89ab717da9984">
        <w:r>
          <w:rPr>
            <w:rStyle w:val="Hyperlink"/>
          </w:rPr>
          <w:t xml:space="preserve">Hastie et al., 2009</w:t>
        </w:r>
      </w:hyperlink>
      <w:r>
        <w:t xml:space="preserve">)</w:t>
      </w:r>
      <w:r>
        <w:t xml:space="preserve">. Using spatial cross-validation, we tuned to the lasso penalty term prior to constructing the final model on the testing dataset.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2"/>
    <w:bookmarkStart w:id="33" w:name="generalized-additive-models"/>
    <w:p>
      <w:pPr>
        <w:pStyle w:val="Heading4"/>
      </w:pPr>
      <w:r>
        <w:t xml:space="preserve">Generalized additive models</w:t>
      </w:r>
    </w:p>
    <w:p>
      <w:pPr>
        <w:pStyle w:val="FirstParagraph"/>
      </w:pPr>
      <w:r>
        <w:t xml:space="preserve">GAMS were fit using restricted maximum likelihood (REML), following recommendations from Pedersen et al.</w:t>
      </w:r>
      <w:r>
        <w:t xml:space="preserve">(</w:t>
      </w:r>
      <w:hyperlink w:anchor="X9ce84d2edd409eea4a5bb93b0b43ed50266fe99">
        <w:r>
          <w:rPr>
            <w:rStyle w:val="Hyperlink"/>
          </w:rPr>
          <w:t xml:space="preserve">2018</w:t>
        </w:r>
      </w:hyperlink>
      <w:r>
        <w:t xml:space="preserve">)</w:t>
      </w:r>
      <w:r>
        <w:t xml:space="preserve">. We set the k parameter, which sets t number of basis functions to the default value of 10.</w:t>
      </w:r>
    </w:p>
    <w:bookmarkEnd w:id="33"/>
    <w:bookmarkStart w:id="34" w:name="random-forests"/>
    <w:p>
      <w:pPr>
        <w:pStyle w:val="Heading4"/>
      </w:pPr>
      <w:r>
        <w:t xml:space="preserve">Random Forests</w:t>
      </w:r>
    </w:p>
    <w:p>
      <w:pPr>
        <w:pStyle w:val="FirstParagraph"/>
      </w:pPr>
      <w:r>
        <w:t xml:space="preserve">RF models are an extension of classification and regression trees (CART), a nonparametric approach useful for modeling the nonlinear relationships and complex interactions that characterize ecological relationships</w:t>
      </w:r>
      <w:r>
        <w:t xml:space="preserve"> </w:t>
      </w:r>
      <w:r>
        <w:t xml:space="preserve">(</w:t>
      </w:r>
      <w:hyperlink w:anchor="X8af443e7151d3081ddf81ae6488f6e02a99b7ea">
        <w:r>
          <w:rPr>
            <w:rStyle w:val="Hyperlink"/>
          </w:rPr>
          <w:t xml:space="preserve">Cutler et al., 2007</w:t>
        </w:r>
      </w:hyperlink>
      <w:r>
        <w:t xml:space="preserve">)</w:t>
      </w:r>
      <w:r>
        <w:t xml:space="preserve">. In RF models, many trees are fit and combined using a bagging approach. Using spatial cross-validation, we tuned the number of variables to try at each split (mtry) and the minimum number of data points in a node that is required for the node to be split further (min_n),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bCs/>
            <w:b/>
          </w:rPr>
          <w:t xml:space="preserve">ranger?</w:t>
        </w:r>
      </w:hyperlink>
      <w:r>
        <w:t xml:space="preserve">)</w:t>
      </w:r>
      <w:r>
        <w:t xml:space="preserve">.</w:t>
      </w:r>
    </w:p>
    <w:bookmarkEnd w:id="34"/>
    <w:bookmarkStart w:id="35" w:name="regularized-gradient-boosting-trees"/>
    <w:p>
      <w:pPr>
        <w:pStyle w:val="Heading4"/>
      </w:pPr>
      <w:r>
        <w:t xml:space="preserve">Regularized gradient boosting trees</w:t>
      </w:r>
    </w:p>
    <w:p>
      <w:pPr>
        <w:pStyle w:val="FirstParagraph"/>
      </w:pPr>
      <w:r>
        <w:t xml:space="preserve">Gradient boosted trees (GBTs) are also an ensemble-based extension of CART. In contrast to RF approaches where trees are built in parallel, in gradient boosting approaches decision trees are constructed iteratively so that each successive tree attempt to improve upon predictions made by the previous tree. The iterative nature GBTs are prone overfitting, but this can be limited by including a learning rate parameter, which controls the rate at which the boosting algorithm adapts, and incorporating randomness into the tree construction by either sampling cases or variables for model building. RGBTs incorporate regularization terms that constrain the depth of the tree and gain in model fit required to further partition a node of the tree.</w:t>
      </w:r>
    </w:p>
    <w:p>
      <w:pPr>
        <w:pStyle w:val="BodyText"/>
      </w:pPr>
      <w:r>
        <w:t xml:space="preserve">Here we used the xgboost implementation</w:t>
      </w:r>
      <w:r>
        <w:t xml:space="preserve"> </w:t>
      </w:r>
      <w:r>
        <w:t xml:space="preserve">(</w:t>
      </w:r>
      <w:hyperlink w:anchor="ref-xgboost">
        <w:r>
          <w:rPr>
            <w:rStyle w:val="Hyperlink"/>
          </w:rPr>
          <w:t xml:space="preserve">Chen et al., 2023</w:t>
        </w:r>
      </w:hyperlink>
      <w:r>
        <w:t xml:space="preserve">)</w:t>
      </w:r>
      <w:r>
        <w:t xml:space="preserve">. We used spatial cross-validation to tune min_n, mtry, the maximum depth of the tree (tree_depth), the loss reduction (loss_reduction)</w:t>
      </w:r>
    </w:p>
    <w:p>
      <w:pPr>
        <w:pStyle w:val="BodyText"/>
      </w:pPr>
      <w:r>
        <w:t xml:space="preserve">RGBTs were fit using the tidymodels implementation of the</w:t>
      </w:r>
      <w:r>
        <w:t xml:space="preserve"> </w:t>
      </w:r>
      <w:r>
        <w:rPr>
          <w:iCs/>
          <w:i/>
        </w:rPr>
        <w:t xml:space="preserve">xgboost</w:t>
      </w:r>
      <w:r>
        <w:t xml:space="preserve"> </w:t>
      </w:r>
      <w:r>
        <w:t xml:space="preserve">package [@xgboost], a fast and accurate implementation.</w:t>
      </w:r>
    </w:p>
    <w:p>
      <w:pPr>
        <w:pStyle w:val="BodyText"/>
      </w:pPr>
      <w:r>
        <w:t xml:space="preserve">, , the reduction in the loss function required to split further (loss_reduction), the learning rate (learn_rate) and the maximum depth of the tree (tree_depth), . RGBTs were fit using the package xgboost he XGBoost algorithm does parallelization within a single tree, th</w:t>
      </w:r>
    </w:p>
    <w:bookmarkEnd w:id="35"/>
    <w:bookmarkStart w:id="36" w:name="ensemble-model"/>
    <w:p>
      <w:pPr>
        <w:pStyle w:val="Heading4"/>
      </w:pPr>
      <w:r>
        <w:t xml:space="preserve">Ensemble Model</w:t>
      </w:r>
    </w:p>
    <w:p>
      <w:pPr>
        <w:pStyle w:val="FirstParagraph"/>
      </w:pPr>
      <w:r>
        <w:t xml:space="preserve">We calculated a weighted probability of occurrence from all three presence-absence models. Weights assigned were based on the ROC AUC statistic.</w:t>
      </w:r>
    </w:p>
    <w:bookmarkEnd w:id="36"/>
    <w:bookmarkEnd w:id="37"/>
    <w:bookmarkStart w:id="38" w:name="projection"/>
    <w:p>
      <w:pPr>
        <w:pStyle w:val="Heading2"/>
      </w:pPr>
      <w:r>
        <w:t xml:space="preserve">Projection</w:t>
      </w:r>
    </w:p>
    <w:bookmarkEnd w:id="38"/>
    <w:bookmarkEnd w:id="39"/>
    <w:bookmarkStart w:id="63" w:name="results"/>
    <w:p>
      <w:pPr>
        <w:pStyle w:val="Heading1"/>
      </w:pPr>
      <w:r>
        <w:t xml:space="preserve">Results</w:t>
      </w:r>
    </w:p>
    <w:bookmarkStart w:id="62" w:name="model-performance"/>
    <w:p>
      <w:pPr>
        <w:pStyle w:val="Heading2"/>
      </w:pPr>
      <w:r>
        <w:t xml:space="preserve">Model performance</w:t>
      </w:r>
    </w:p>
    <w:p>
      <w:pPr>
        <w:pStyle w:val="FirstParagraph"/>
      </w:pPr>
      <w:r>
        <w:t xml:space="preserve">All models were accurate classifiers (Table</w:t>
      </w:r>
      <w:r>
        <w:t xml:space="preserve"> </w:t>
      </w:r>
      <w:r>
        <w:t xml:space="preserve">2</w:t>
      </w:r>
      <w:r>
        <w:t xml:space="preserve">). Nonparametric approaches were generally better than parametric approaches at predicting aspen presence (i.e., higher sensitivity), however parametric approaches were more balanced in their capacity to predict both aspen presence and absence. Based on AUC, the ensemble model outperformed each individual model. Further,</w:t>
      </w:r>
    </w:p>
    <w:p>
      <w:pPr>
        <w:pStyle w:val="BodyText"/>
      </w:pPr>
      <w:r>
        <w:t xml:space="preserve">The ensemble model correctly predicted the presence of aspen for 71% of points identification points (n=12470).</w:t>
      </w:r>
    </w:p>
    <w:p>
      <w:pPr>
        <w:pStyle w:val="BodyText"/>
      </w:pPr>
      <w:r>
        <w:t xml:space="preserve">Model results were spatially-biased. Across, all models the probability of aspen occurrence on the eastern slope of the Rocky Mountains</w:t>
      </w:r>
    </w:p>
    <w:p>
      <w:pPr>
        <w:pStyle w:val="BodyText"/>
      </w:pPr>
      <w:r>
        <w:t xml:space="preserve">(Table</w:t>
      </w:r>
      <w:r>
        <w:t xml:space="preserve"> </w:t>
      </w:r>
      <w:r>
        <w:t xml:space="preserve">5</w:t>
      </w:r>
      <w:r>
        <w:t xml:space="preserve">).</w:t>
      </w:r>
    </w:p>
    <w:p>
      <w:pPr>
        <w:pStyle w:val="TableCaption"/>
      </w:pPr>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r>
      <w:tr>
        <w:trPr>
          <w:trHeight w:val="36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r>
        <w:trPr>
          <w:trHeight w:val="36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bl>
    <w:bookmarkStart w:id="61" w:name="variable-importance"/>
    <w:p>
      <w:pPr>
        <w:pStyle w:val="Heading3"/>
      </w:pPr>
      <w:r>
        <w:t xml:space="preserve">Variable importance</w:t>
      </w:r>
    </w:p>
    <w:p>
      <w:pPr>
        <w:pStyle w:val="FirstParagraph"/>
      </w:pPr>
      <w:r>
        <w:t xml:space="preserve">(Fig.</w:t>
      </w:r>
      <w:r>
        <w:t xml:space="preserve"> </w:t>
      </w:r>
      <w:r>
        <w:t xml:space="preserve">2</w:t>
      </w:r>
      <w:r>
        <w:t xml:space="preserve">.</w:t>
      </w:r>
    </w:p>
    <w:p>
      <w:pPr>
        <w:pStyle w:val="CaptionedFigure"/>
      </w:pPr>
      <w:r>
        <w:drawing>
          <wp:inline>
            <wp:extent cx="6400800" cy="3911600"/>
            <wp:effectExtent b="0" l="0" r="0" t="0"/>
            <wp:docPr descr="Figure 2: Variable importance scores (A) and accumulate local effects (B) for models of aspen habitat suitability by modeling approach. In B, vertical lines illustrate the mean climate conditions for areas with existing aspen for the historical period (1981-2010) and projections for the 2011-2040, 2041-2070, and 2071-2100 periods under the SPP4-8.5 scenario. For variable definitions and descriptions see Table 1." title="" id="41" name="Picture"/>
            <a:graphic>
              <a:graphicData uri="http://schemas.openxmlformats.org/drawingml/2006/picture">
                <pic:pic>
                  <pic:nvPicPr>
                    <pic:cNvPr descr="../Results/Figures/vip-ale.jpg" id="42" name="Picture"/>
                    <pic:cNvPicPr>
                      <a:picLocks noChangeArrowheads="1" noChangeAspect="1"/>
                    </pic:cNvPicPr>
                  </pic:nvPicPr>
                  <pic:blipFill>
                    <a:blip r:embed="rId40"/>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2: Variable importance scores (A) and accumulate local effects (B) for models of aspen habitat suitability by modeling approach. In B, vertical lines illustrate the mean climate conditions for areas with existing aspen for the historical period (1981-2010) and projections for the 2011-2040, 2041-2070, and 2071-2100 periods under the SPP4-8.5 scenario. For variable definitions and descriptions see Table 1.</w:t>
      </w:r>
    </w:p>
    <w:p>
      <w:pPr>
        <w:pStyle w:val="BodyText"/>
      </w:pPr>
      <w:r>
        <w:t xml:space="preserve">(Fig.</w:t>
      </w:r>
      <w:r>
        <w:t xml:space="preserve"> </w:t>
      </w:r>
      <w:r>
        <w:t xml:space="preserve">3</w:t>
      </w:r>
      <w:r>
        <w:t xml:space="preserve">.</w:t>
      </w:r>
    </w:p>
    <w:p>
      <w:pPr>
        <w:pStyle w:val="BodyText"/>
      </w:pPr>
      <w:r>
        <w:t xml:space="preserve">(Fig.</w:t>
      </w:r>
      <w:r>
        <w:t xml:space="preserve"> </w:t>
      </w:r>
      <w:r>
        <w:t xml:space="preserve">4</w:t>
      </w:r>
      <w:r>
        <w:t xml:space="preserve">.</w:t>
      </w:r>
    </w:p>
    <w:p>
      <w:pPr>
        <w:pStyle w:val="CaptionedFigure"/>
      </w:pPr>
      <w:r>
        <w:drawing>
          <wp:inline>
            <wp:extent cx="6400800" cy="2971800"/>
            <wp:effectExtent b="0" l="0" r="0" t="0"/>
            <wp:docPr descr="Figure 3: The ensemble projection of aspen habitat suitability under current conditions and projections for future periods based on an SSP5-8.5 scenario." title="" id="44" name="Picture"/>
            <a:graphic>
              <a:graphicData uri="http://schemas.openxmlformats.org/drawingml/2006/picture">
                <pic:pic>
                  <pic:nvPicPr>
                    <pic:cNvPr descr="../Results/Figures/FigMaps-Change.jpg" id="45" name="Picture"/>
                    <pic:cNvPicPr>
                      <a:picLocks noChangeArrowheads="1" noChangeAspect="1"/>
                    </pic:cNvPicPr>
                  </pic:nvPicPr>
                  <pic:blipFill>
                    <a:blip r:embed="rId43"/>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3: The ensemble projection of aspen habitat suitability under current conditions and projections for future periods based on an SSP5-8.5 scenario.</w:t>
      </w:r>
    </w:p>
    <w:p>
      <w:pPr>
        <w:pStyle w:val="CaptionedFigure"/>
      </w:pPr>
      <w:r>
        <w:drawing>
          <wp:inline>
            <wp:extent cx="3239999" cy="2519999"/>
            <wp:effectExtent b="0" l="0" r="0" t="0"/>
            <wp:docPr descr="Figure 4: Change" title="" id="47" name="Picture"/>
            <a:graphic>
              <a:graphicData uri="http://schemas.openxmlformats.org/drawingml/2006/picture">
                <pic:pic>
                  <pic:nvPicPr>
                    <pic:cNvPr descr="../Results/Figures/change-probability.jpg" id="48" name="Picture"/>
                    <pic:cNvPicPr>
                      <a:picLocks noChangeArrowheads="1" noChangeAspect="1"/>
                    </pic:cNvPicPr>
                  </pic:nvPicPr>
                  <pic:blipFill>
                    <a:blip r:embed="rId46"/>
                    <a:stretch>
                      <a:fillRect/>
                    </a:stretch>
                  </pic:blipFill>
                  <pic:spPr bwMode="auto">
                    <a:xfrm>
                      <a:off x="0" y="0"/>
                      <a:ext cx="3239999" cy="2519999"/>
                    </a:xfrm>
                    <a:prstGeom prst="rect">
                      <a:avLst/>
                    </a:prstGeom>
                    <a:noFill/>
                    <a:ln w="9525">
                      <a:noFill/>
                      <a:headEnd/>
                      <a:tailEnd/>
                    </a:ln>
                  </pic:spPr>
                </pic:pic>
              </a:graphicData>
            </a:graphic>
          </wp:inline>
        </w:drawing>
      </w:r>
    </w:p>
    <w:p>
      <w:pPr>
        <w:pStyle w:val="ImageCaption"/>
      </w:pPr>
      <w:r>
        <w:t xml:space="preserve">Figure 4: Change</w:t>
      </w:r>
    </w:p>
    <w:p>
      <w:pPr>
        <w:pStyle w:val="CaptionedFigure"/>
      </w:pPr>
      <w:r>
        <w:drawing>
          <wp:inline>
            <wp:extent cx="3239999" cy="5399999"/>
            <wp:effectExtent b="0" l="0" r="0" t="0"/>
            <wp:docPr descr="Figure 5: GainLoss-Geo" title="" id="50" name="Picture"/>
            <a:graphic>
              <a:graphicData uri="http://schemas.openxmlformats.org/drawingml/2006/picture">
                <pic:pic>
                  <pic:nvPicPr>
                    <pic:cNvPr descr="../Results/Figures/gainloss-geography.jpg" id="51" name="Picture"/>
                    <pic:cNvPicPr>
                      <a:picLocks noChangeArrowheads="1" noChangeAspect="1"/>
                    </pic:cNvPicPr>
                  </pic:nvPicPr>
                  <pic:blipFill>
                    <a:blip r:embed="rId49"/>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GainLoss-Geo</w:t>
      </w:r>
    </w:p>
    <w:p>
      <w:pPr>
        <w:pStyle w:val="CaptionedFigure"/>
      </w:pPr>
      <w:r>
        <w:drawing>
          <wp:inline>
            <wp:extent cx="3200400" cy="2971800"/>
            <wp:effectExtent b="0" l="0" r="0" t="0"/>
            <wp:docPr descr="Figure 6: LossGainMaps" title="" id="53" name="Picture"/>
            <a:graphic>
              <a:graphicData uri="http://schemas.openxmlformats.org/drawingml/2006/picture">
                <pic:pic>
                  <pic:nvPicPr>
                    <pic:cNvPr descr="../Results/Figures/FigMaps-LossGain.jpg" id="54" name="Picture"/>
                    <pic:cNvPicPr>
                      <a:picLocks noChangeArrowheads="1" noChangeAspect="1"/>
                    </pic:cNvPicPr>
                  </pic:nvPicPr>
                  <pic:blipFill>
                    <a:blip r:embed="rId52"/>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6: LossGainMaps</w:t>
      </w:r>
    </w:p>
    <w:p>
      <w:pPr>
        <w:pStyle w:val="CaptionedFigure"/>
      </w:pPr>
      <w:r>
        <w:drawing>
          <wp:inline>
            <wp:extent cx="3200400" cy="2971800"/>
            <wp:effectExtent b="0" l="0" r="0" t="0"/>
            <wp:docPr descr="Figure 7: GainDistanceMaps" title="" id="56" name="Picture"/>
            <a:graphic>
              <a:graphicData uri="http://schemas.openxmlformats.org/drawingml/2006/picture">
                <pic:pic>
                  <pic:nvPicPr>
                    <pic:cNvPr descr="../Results/Figures/FigMaps-Gain-Distance.jpg" id="57" name="Picture"/>
                    <pic:cNvPicPr>
                      <a:picLocks noChangeArrowheads="1" noChangeAspect="1"/>
                    </pic:cNvPicPr>
                  </pic:nvPicPr>
                  <pic:blipFill>
                    <a:blip r:embed="rId55"/>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7: GainDistanceMaps</w:t>
      </w:r>
    </w:p>
    <w:p>
      <w:pPr>
        <w:pStyle w:val="CaptionedFigure"/>
      </w:pPr>
      <w:r>
        <w:drawing>
          <wp:inline>
            <wp:extent cx="3239999" cy="5399999"/>
            <wp:effectExtent b="0" l="0" r="0" t="0"/>
            <wp:docPr descr="Figure 8: GainDistanceMaps" title="" id="59" name="Picture"/>
            <a:graphic>
              <a:graphicData uri="http://schemas.openxmlformats.org/drawingml/2006/picture">
                <pic:pic>
                  <pic:nvPicPr>
                    <pic:cNvPr descr="../Results/Figures/gaindist-geography.jpg" id="60" name="Picture"/>
                    <pic:cNvPicPr>
                      <a:picLocks noChangeArrowheads="1" noChangeAspect="1"/>
                    </pic:cNvPicPr>
                  </pic:nvPicPr>
                  <pic:blipFill>
                    <a:blip r:embed="rId58"/>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8: GainDistanceMaps</w:t>
      </w:r>
    </w:p>
    <w:bookmarkEnd w:id="61"/>
    <w:bookmarkEnd w:id="62"/>
    <w:bookmarkEnd w:id="63"/>
    <w:bookmarkStart w:id="64" w:name="discussion"/>
    <w:p>
      <w:pPr>
        <w:pStyle w:val="Heading1"/>
      </w:pPr>
      <w:r>
        <w:t xml:space="preserve">Discussion</w:t>
      </w:r>
    </w:p>
    <w:p>
      <w:pPr>
        <w:pStyle w:val="FirstParagraph"/>
      </w:pPr>
      <w:r>
        <w:t xml:space="preserve">Quaking aspen is one of the most widely distributed tree species. While our study area clearly includes areas where aspen is absent, we acknowledge that our dataset may be environmentally truncated</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r>
        <w:t xml:space="preserve">.</w:t>
      </w:r>
    </w:p>
    <w:bookmarkEnd w:id="64"/>
    <w:bookmarkStart w:id="65" w:name="conclusions"/>
    <w:p>
      <w:pPr>
        <w:pStyle w:val="Heading1"/>
      </w:pPr>
      <w:r>
        <w:t xml:space="preserve">Conclusions</w:t>
      </w:r>
    </w:p>
    <w:bookmarkEnd w:id="65"/>
    <w:bookmarkStart w:id="142" w:name="references"/>
    <w:p>
      <w:pPr>
        <w:pStyle w:val="Heading1"/>
      </w:pPr>
      <w:r>
        <w:t xml:space="preserve">References</w:t>
      </w:r>
    </w:p>
    <w:bookmarkStart w:id="141" w:name="refs"/>
    <w:bookmarkStart w:id="67" w:name="Xcb40ace7ff505c24620413cbf7691d7f26a4667"/>
    <w:p>
      <w:pPr>
        <w:pStyle w:val="Bibliography"/>
      </w:pPr>
      <w:r>
        <w:t xml:space="preserve">AdaptWest Project, 2022.</w:t>
      </w:r>
      <w:r>
        <w:t xml:space="preserve"> </w:t>
      </w:r>
      <w:hyperlink r:id="rId66">
        <w:r>
          <w:rPr>
            <w:rStyle w:val="Hyperlink"/>
          </w:rPr>
          <w:t xml:space="preserve">Gridded current and projected climate data for north america at 1km resolution, generated using the ClimateNA v7.30 software (t. Wang et al., 2022).</w:t>
        </w:r>
      </w:hyperlink>
    </w:p>
    <w:bookmarkEnd w:id="67"/>
    <w:bookmarkStart w:id="69"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8">
        <w:r>
          <w:rPr>
            <w:rStyle w:val="Hyperlink"/>
          </w:rPr>
          <w:t xml:space="preserve">https://doi.org/10.1126/sciadv.aat4858</w:t>
        </w:r>
      </w:hyperlink>
    </w:p>
    <w:bookmarkEnd w:id="69"/>
    <w:bookmarkStart w:id="70" w:name="ref-baker1990"/>
    <w:p>
      <w:pPr>
        <w:pStyle w:val="Bibliography"/>
      </w:pPr>
      <w:r>
        <w:t xml:space="preserve">Baker, W.L., Veblen, T.T., 1990. Spruce beetles and fires in the nineteenth-century subalpine forests of western colorado, USA. Arctic and Alpine Research 22, 6580.</w:t>
      </w:r>
    </w:p>
    <w:bookmarkEnd w:id="70"/>
    <w:bookmarkStart w:id="72" w:name="ref-DALEX"/>
    <w:p>
      <w:pPr>
        <w:pStyle w:val="Bibliography"/>
      </w:pPr>
      <w:r>
        <w:t xml:space="preserve">Biecek, P., 2018.</w:t>
      </w:r>
      <w:r>
        <w:t xml:space="preserve"> </w:t>
      </w:r>
      <w:hyperlink r:id="rId71">
        <w:r>
          <w:rPr>
            <w:rStyle w:val="Hyperlink"/>
          </w:rPr>
          <w:t xml:space="preserve">DALEX: Explainers for complex predictive models in r</w:t>
        </w:r>
      </w:hyperlink>
      <w:r>
        <w:t xml:space="preserve"> </w:t>
      </w:r>
      <w:r>
        <w:t xml:space="preserve">19, 1–5.</w:t>
      </w:r>
    </w:p>
    <w:bookmarkEnd w:id="72"/>
    <w:bookmarkStart w:id="74" w:name="X5c32a085163f7984ef94bffa6e18a48d36b3eb2"/>
    <w:p>
      <w:pPr>
        <w:pStyle w:val="Bibliography"/>
      </w:pPr>
      <w:r>
        <w:t xml:space="preserve">Bradley, B.A., Mustard, J.F., 2006. Characterizing The Landscape Dynamics Of An Invasive Plant And Risk Of Invasion Using Remote Sensing. Ecological Applications 16, 1132–1147.</w:t>
      </w:r>
      <w:r>
        <w:t xml:space="preserve"> </w:t>
      </w:r>
      <w:hyperlink r:id="rId73">
        <w:r>
          <w:rPr>
            <w:rStyle w:val="Hyperlink"/>
          </w:rPr>
          <w:t xml:space="preserve">https://doi.org/10.1890/1051-0761(2006)016[1132:CTLDOA]2.0.CO;2</w:t>
        </w:r>
      </w:hyperlink>
    </w:p>
    <w:bookmarkEnd w:id="74"/>
    <w:bookmarkStart w:id="76"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5">
        <w:r>
          <w:rPr>
            <w:rStyle w:val="Hyperlink"/>
          </w:rPr>
          <w:t xml:space="preserve">https://doi.org/10.1029/2018WR022797</w:t>
        </w:r>
      </w:hyperlink>
    </w:p>
    <w:bookmarkEnd w:id="76"/>
    <w:bookmarkStart w:id="78" w:name="ref-xgboost"/>
    <w:p>
      <w:pPr>
        <w:pStyle w:val="Bibliography"/>
      </w:pPr>
      <w:r>
        <w:t xml:space="preserve">Chen, T., He, T., Benesty, M., Khotilovich, V., Tang, Y., Cho, H., Chen, K., Mitchell, R., Cano, I., Zhou, T., Li, M., Xie, J., Lin, M., Geng, Y., Li, Y., Yuan, J., 2023.</w:t>
      </w:r>
      <w:r>
        <w:t xml:space="preserve"> </w:t>
      </w:r>
      <w:hyperlink r:id="rId77">
        <w:r>
          <w:rPr>
            <w:rStyle w:val="Hyperlink"/>
          </w:rPr>
          <w:t xml:space="preserve">Xgboost: Extreme gradient boosting</w:t>
        </w:r>
      </w:hyperlink>
      <w:r>
        <w:t xml:space="preserve">.</w:t>
      </w:r>
    </w:p>
    <w:bookmarkEnd w:id="78"/>
    <w:bookmarkStart w:id="79" w:name="ref-comer2001SouthernRockyMountains"/>
    <w:p>
      <w:pPr>
        <w:pStyle w:val="Bibliography"/>
      </w:pPr>
      <w:r>
        <w:t xml:space="preserve">Comer, P., 2001. Southern rocky mountains: An ecoregional assessment and conservation blueprint.</w:t>
      </w:r>
    </w:p>
    <w:bookmarkEnd w:id="79"/>
    <w:bookmarkStart w:id="80" w:name="X8af443e7151d3081ddf81ae6488f6e02a99b7ea"/>
    <w:p>
      <w:pPr>
        <w:pStyle w:val="Bibliography"/>
      </w:pPr>
      <w:r>
        <w:t xml:space="preserve">Cutler, D.R., Edwards Jr, T.C., Beard, K.H., Cutler, A., Hess, K.T., Gibson, J., Lawler, J.J., 2007. Random forests for classification in ecology. Ecology 88, 27832792.</w:t>
      </w:r>
    </w:p>
    <w:bookmarkEnd w:id="80"/>
    <w:bookmarkStart w:id="82" w:name="ref-drummond2012SouthernRockiesEcoregion"/>
    <w:p>
      <w:pPr>
        <w:pStyle w:val="Bibliography"/>
      </w:pPr>
      <w:r>
        <w:t xml:space="preserve">Drummond, M.A., 2012.</w:t>
      </w:r>
      <w:r>
        <w:t xml:space="preserve"> </w:t>
      </w:r>
      <w:hyperlink r:id="rId81">
        <w:r>
          <w:rPr>
            <w:rStyle w:val="Hyperlink"/>
          </w:rPr>
          <w:t xml:space="preserve">Southern rockies ecoregion: Chapter 8 in status and trends of land change in the western united states–1973 to 2000</w:t>
        </w:r>
      </w:hyperlink>
      <w:r>
        <w:t xml:space="preserve">. Reston, VA.</w:t>
      </w:r>
    </w:p>
    <w:bookmarkEnd w:id="82"/>
    <w:bookmarkStart w:id="84" w:name="ref-spatialEco"/>
    <w:p>
      <w:pPr>
        <w:pStyle w:val="Bibliography"/>
      </w:pPr>
      <w:r>
        <w:t xml:space="preserve">Evans, J.S., Murphy, M.A., 2021.</w:t>
      </w:r>
      <w:r>
        <w:t xml:space="preserve"> </w:t>
      </w:r>
      <w:hyperlink r:id="rId83">
        <w:r>
          <w:rPr>
            <w:rStyle w:val="Hyperlink"/>
          </w:rPr>
          <w:t xml:space="preserve">spatialEco</w:t>
        </w:r>
      </w:hyperlink>
      <w:r>
        <w:t xml:space="preserve">.</w:t>
      </w:r>
    </w:p>
    <w:bookmarkEnd w:id="84"/>
    <w:bookmarkStart w:id="86"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85">
        <w:r>
          <w:rPr>
            <w:rStyle w:val="Hyperlink"/>
          </w:rPr>
          <w:t xml:space="preserve">https://doi.org/10.1186/2192-1709-1-2</w:t>
        </w:r>
      </w:hyperlink>
    </w:p>
    <w:bookmarkEnd w:id="86"/>
    <w:bookmarkStart w:id="88"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87">
        <w:r>
          <w:rPr>
            <w:rStyle w:val="Hyperlink"/>
          </w:rPr>
          <w:t xml:space="preserve">https://doi.org/10.1111/gcb.12051</w:t>
        </w:r>
      </w:hyperlink>
    </w:p>
    <w:bookmarkEnd w:id="88"/>
    <w:bookmarkStart w:id="90" w:name="ref-glmnet"/>
    <w:p>
      <w:pPr>
        <w:pStyle w:val="Bibliography"/>
      </w:pPr>
      <w:r>
        <w:t xml:space="preserve">Friedman, J., Tibshirani, R., Hastie, T., 2010. Regularization paths for generalized linear models via coordinate descent 33.</w:t>
      </w:r>
      <w:r>
        <w:t xml:space="preserve"> </w:t>
      </w:r>
      <w:hyperlink r:id="rId89">
        <w:r>
          <w:rPr>
            <w:rStyle w:val="Hyperlink"/>
          </w:rPr>
          <w:t xml:space="preserve">https://doi.org/10.18637/jss.v033.i01</w:t>
        </w:r>
      </w:hyperlink>
    </w:p>
    <w:bookmarkEnd w:id="90"/>
    <w:bookmarkStart w:id="92"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91">
        <w:r>
          <w:rPr>
            <w:rStyle w:val="Hyperlink"/>
          </w:rPr>
          <w:t xml:space="preserve">https://doi.org/10.1111/geb.12381</w:t>
        </w:r>
      </w:hyperlink>
    </w:p>
    <w:bookmarkEnd w:id="92"/>
    <w:bookmarkStart w:id="93" w:name="X1bac580b2d504864f7c67f41ed89ab717da9984"/>
    <w:p>
      <w:pPr>
        <w:pStyle w:val="Bibliography"/>
      </w:pPr>
      <w:r>
        <w:t xml:space="preserve">Hastie, T., Tibshirani, R., Friedman, J.H., Friedman, J.H., 2009. The elements of statistical learning: Data mining, inference, and prediction. Springer.</w:t>
      </w:r>
    </w:p>
    <w:bookmarkEnd w:id="93"/>
    <w:bookmarkStart w:id="95" w:name="X0773c8e2ab11f078ec717d59314f0220fe06795"/>
    <w:p>
      <w:pPr>
        <w:pStyle w:val="Bibliography"/>
      </w:pPr>
      <w:r>
        <w:t xml:space="preserve">Hausfather, Z., Marvel, K., Schmidt, G.A., Nielsen-Gammon, J.W., Zelinka, M., 2022. Climate simulations: recognize the</w:t>
      </w:r>
      <w:r>
        <w:t xml:space="preserve"> </w:t>
      </w:r>
      <w:r>
        <w:t xml:space="preserve">‘</w:t>
      </w:r>
      <w:r>
        <w:t xml:space="preserve">hot model</w:t>
      </w:r>
      <w:r>
        <w:t xml:space="preserve">’</w:t>
      </w:r>
      <w:r>
        <w:t xml:space="preserve"> </w:t>
      </w:r>
      <w:r>
        <w:t xml:space="preserve">problem. Nature 605, 26–29.</w:t>
      </w:r>
      <w:r>
        <w:t xml:space="preserve"> </w:t>
      </w:r>
      <w:hyperlink r:id="rId94">
        <w:r>
          <w:rPr>
            <w:rStyle w:val="Hyperlink"/>
          </w:rPr>
          <w:t xml:space="preserve">https://doi.org/10.1038/d41586-022-01192-2</w:t>
        </w:r>
      </w:hyperlink>
    </w:p>
    <w:bookmarkEnd w:id="95"/>
    <w:bookmarkStart w:id="97"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96">
        <w:r>
          <w:rPr>
            <w:rStyle w:val="Hyperlink"/>
          </w:rPr>
          <w:t xml:space="preserve">https://doi.org/10.1002/rse2.7</w:t>
        </w:r>
      </w:hyperlink>
    </w:p>
    <w:bookmarkEnd w:id="97"/>
    <w:bookmarkStart w:id="99" w:name="ref-tidymodels"/>
    <w:p>
      <w:pPr>
        <w:pStyle w:val="Bibliography"/>
      </w:pPr>
      <w:r>
        <w:t xml:space="preserve">Kuhn, M., Wickham, H., 2020.</w:t>
      </w:r>
      <w:r>
        <w:t xml:space="preserve"> </w:t>
      </w:r>
      <w:hyperlink r:id="rId98">
        <w:r>
          <w:rPr>
            <w:rStyle w:val="Hyperlink"/>
          </w:rPr>
          <w:t xml:space="preserve">Tidymodels: A collection of packages for modeling and machine learning using tidyverse principles.</w:t>
        </w:r>
      </w:hyperlink>
    </w:p>
    <w:bookmarkEnd w:id="99"/>
    <w:bookmarkStart w:id="100"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00"/>
    <w:bookmarkStart w:id="102"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01">
        <w:r>
          <w:rPr>
            <w:rStyle w:val="Hyperlink"/>
          </w:rPr>
          <w:t xml:space="preserve">https://doi.org/10.48550/arXiv.2303.07334</w:t>
        </w:r>
      </w:hyperlink>
    </w:p>
    <w:bookmarkEnd w:id="102"/>
    <w:bookmarkStart w:id="104"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03">
        <w:r>
          <w:rPr>
            <w:rStyle w:val="Hyperlink"/>
          </w:rPr>
          <w:t xml:space="preserve">https://doi.org/10.1002/joc.7566</w:t>
        </w:r>
      </w:hyperlink>
    </w:p>
    <w:bookmarkEnd w:id="104"/>
    <w:bookmarkStart w:id="106" w:name="ref-mccune2007ImprovedEstimatesIncident"/>
    <w:p>
      <w:pPr>
        <w:pStyle w:val="Bibliography"/>
      </w:pPr>
      <w:r>
        <w:t xml:space="preserve">McCune, B., 2007.</w:t>
      </w:r>
      <w:r>
        <w:t xml:space="preserve"> </w:t>
      </w:r>
      <w:hyperlink r:id="rId105">
        <w:r>
          <w:rPr>
            <w:rStyle w:val="Hyperlink"/>
          </w:rPr>
          <w:t xml:space="preserve">Improved estimates of incident radiation and heat load using non-parametric regression against topographic variables</w:t>
        </w:r>
      </w:hyperlink>
      <w:r>
        <w:t xml:space="preserve">. Journal of Vegetation Science 18, 751–754.</w:t>
      </w:r>
    </w:p>
    <w:bookmarkEnd w:id="106"/>
    <w:bookmarkStart w:id="108" w:name="ref-mccune2002EquationsPotentialAnnual"/>
    <w:p>
      <w:pPr>
        <w:pStyle w:val="Bibliography"/>
      </w:pPr>
      <w:r>
        <w:t xml:space="preserve">McCune, B., Keon, D., 2002.</w:t>
      </w:r>
      <w:r>
        <w:t xml:space="preserve"> </w:t>
      </w:r>
      <w:hyperlink r:id="rId107">
        <w:r>
          <w:rPr>
            <w:rStyle w:val="Hyperlink"/>
          </w:rPr>
          <w:t xml:space="preserve">Equations for potential annual direct incident radiation and heat load</w:t>
        </w:r>
      </w:hyperlink>
      <w:r>
        <w:t xml:space="preserve">. Journal of Vegetation Science 13, 603–606.</w:t>
      </w:r>
    </w:p>
    <w:bookmarkEnd w:id="108"/>
    <w:bookmarkStart w:id="110"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09">
        <w:r>
          <w:rPr>
            <w:rStyle w:val="Hyperlink"/>
          </w:rPr>
          <w:t xml:space="preserve">https://doi.org/10.1016/S0168-1923(98)00102-6</w:t>
        </w:r>
      </w:hyperlink>
    </w:p>
    <w:bookmarkEnd w:id="110"/>
    <w:bookmarkStart w:id="112" w:name="X9ce84d2edd409eea4a5bb93b0b43ed50266fe99"/>
    <w:p>
      <w:pPr>
        <w:pStyle w:val="Bibliography"/>
      </w:pPr>
      <w:r>
        <w:t xml:space="preserve">Pedersen, E.J., Miller, D.L., Simpson, G.L., Ross, N., 2018. Hierarchical generalized additive models: an introduction with mgcv.</w:t>
      </w:r>
      <w:r>
        <w:t xml:space="preserve"> </w:t>
      </w:r>
      <w:hyperlink r:id="rId111">
        <w:r>
          <w:rPr>
            <w:rStyle w:val="Hyperlink"/>
          </w:rPr>
          <w:t xml:space="preserve">https://doi.org/10.7287/peerj.preprints.27320v1</w:t>
        </w:r>
      </w:hyperlink>
    </w:p>
    <w:bookmarkEnd w:id="112"/>
    <w:bookmarkStart w:id="113" w:name="ref-peet1981ForestVegetationColorado"/>
    <w:p>
      <w:pPr>
        <w:pStyle w:val="Bibliography"/>
      </w:pPr>
      <w:r>
        <w:t xml:space="preserve">Peet, R.K., 1981. Forest vegetation of the colorado front range. Vegetatio 45, 375.</w:t>
      </w:r>
    </w:p>
    <w:bookmarkEnd w:id="113"/>
    <w:bookmarkStart w:id="115" w:name="ref-prismclimategroup2021"/>
    <w:p>
      <w:pPr>
        <w:pStyle w:val="Bibliography"/>
      </w:pPr>
      <w:r>
        <w:t xml:space="preserve">PRISM Climate Group, 2021.</w:t>
      </w:r>
      <w:r>
        <w:t xml:space="preserve"> </w:t>
      </w:r>
      <w:hyperlink r:id="rId114">
        <w:r>
          <w:rPr>
            <w:rStyle w:val="Hyperlink"/>
          </w:rPr>
          <w:t xml:space="preserve">Monthly 30-year climate normals (1981-2010)</w:t>
        </w:r>
      </w:hyperlink>
      <w:r>
        <w:t xml:space="preserve">.</w:t>
      </w:r>
    </w:p>
    <w:bookmarkEnd w:id="115"/>
    <w:bookmarkStart w:id="117" w:name="X4878592beea4a6dfca9c91383c925df652b2c7a"/>
    <w:p>
      <w:pPr>
        <w:pStyle w:val="Bibliography"/>
      </w:pPr>
      <w:r>
        <w:t xml:space="preserve">R Core Team, 2022.</w:t>
      </w:r>
      <w:r>
        <w:t xml:space="preserve"> </w:t>
      </w:r>
      <w:hyperlink r:id="rId116">
        <w:r>
          <w:rPr>
            <w:rStyle w:val="Hyperlink"/>
          </w:rPr>
          <w:t xml:space="preserve">R: A language and environment for statistical computing</w:t>
        </w:r>
      </w:hyperlink>
      <w:r>
        <w:t xml:space="preserve">. R Foundation for Statistical Computing, Vienna, Austria.</w:t>
      </w:r>
    </w:p>
    <w:bookmarkEnd w:id="117"/>
    <w:bookmarkStart w:id="119"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118">
        <w:r>
          <w:rPr>
            <w:rStyle w:val="Hyperlink"/>
          </w:rPr>
          <w:t xml:space="preserve">https://doi.org/10.1093/forestry/cpv019</w:t>
        </w:r>
      </w:hyperlink>
    </w:p>
    <w:bookmarkEnd w:id="119"/>
    <w:bookmarkStart w:id="121"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20">
        <w:r>
          <w:rPr>
            <w:rStyle w:val="Hyperlink"/>
          </w:rPr>
          <w:t xml:space="preserve">https://doi.org/10.1016/j.gloenvcha.2016.05.009</w:t>
        </w:r>
      </w:hyperlink>
    </w:p>
    <w:bookmarkEnd w:id="121"/>
    <w:bookmarkStart w:id="123"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22">
        <w:r>
          <w:rPr>
            <w:rStyle w:val="Hyperlink"/>
          </w:rPr>
          <w:t xml:space="preserve">https://doi.org/10.3390/rs13061089</w:t>
        </w:r>
      </w:hyperlink>
    </w:p>
    <w:bookmarkEnd w:id="123"/>
    <w:bookmarkStart w:id="125"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24">
        <w:r>
          <w:rPr>
            <w:rStyle w:val="Hyperlink"/>
          </w:rPr>
          <w:t xml:space="preserve">https://doi.org/10.1111/geb.13174</w:t>
        </w:r>
      </w:hyperlink>
    </w:p>
    <w:bookmarkEnd w:id="125"/>
    <w:bookmarkStart w:id="127"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26">
        <w:r>
          <w:rPr>
            <w:rStyle w:val="Hyperlink"/>
          </w:rPr>
          <w:t xml:space="preserve">https://doi.org/10.1111/j.0906-7590.2004.03673.x</w:t>
        </w:r>
      </w:hyperlink>
    </w:p>
    <w:bookmarkEnd w:id="127"/>
    <w:bookmarkStart w:id="129" w:name="X6d15385bd2515b6b1604e69149483d60c1b1585"/>
    <w:p>
      <w:pPr>
        <w:pStyle w:val="Bibliography"/>
      </w:pPr>
      <w:r>
        <w:t xml:space="preserve">U. S. Geological Survey, 2023.</w:t>
      </w:r>
      <w:r>
        <w:t xml:space="preserve"> </w:t>
      </w:r>
      <w:hyperlink r:id="rId128">
        <w:r>
          <w:rPr>
            <w:rStyle w:val="Hyperlink"/>
          </w:rPr>
          <w:t xml:space="preserve">USGS 3D elevation program digital elevation model</w:t>
        </w:r>
      </w:hyperlink>
      <w:r>
        <w:t xml:space="preserve">.</w:t>
      </w:r>
    </w:p>
    <w:bookmarkEnd w:id="129"/>
    <w:bookmarkStart w:id="131"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30">
        <w:r>
          <w:rPr>
            <w:rStyle w:val="Hyperlink"/>
          </w:rPr>
          <w:t xml:space="preserve">https://doi.org/10.2307/2261392</w:t>
        </w:r>
      </w:hyperlink>
    </w:p>
    <w:bookmarkEnd w:id="131"/>
    <w:bookmarkStart w:id="133"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32">
        <w:r>
          <w:rPr>
            <w:rStyle w:val="Hyperlink"/>
          </w:rPr>
          <w:t xml:space="preserve">https://doi.org/10.1890/1051-0761(2000)010[1178:CAHIOF]2.0.CO;2</w:t>
        </w:r>
      </w:hyperlink>
    </w:p>
    <w:bookmarkEnd w:id="133"/>
    <w:bookmarkStart w:id="135"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34">
        <w:r>
          <w:rPr>
            <w:rStyle w:val="Hyperlink"/>
          </w:rPr>
          <w:t xml:space="preserve">https://doi.org/10.1371/journal.pone.0156720</w:t>
        </w:r>
      </w:hyperlink>
    </w:p>
    <w:bookmarkEnd w:id="135"/>
    <w:bookmarkStart w:id="136" w:name="ref-weiss2001"/>
    <w:p>
      <w:pPr>
        <w:pStyle w:val="Bibliography"/>
      </w:pPr>
      <w:r>
        <w:t xml:space="preserve">Weiss, A., 2001. Topographic position and landforms analysis.</w:t>
      </w:r>
    </w:p>
    <w:bookmarkEnd w:id="136"/>
    <w:bookmarkStart w:id="138" w:name="ref-spatialRF"/>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37">
        <w:r>
          <w:rPr>
            <w:rStyle w:val="Hyperlink"/>
          </w:rPr>
          <w:t xml:space="preserve">https://doi.org/10.18637/jss.v077.i01</w:t>
        </w:r>
      </w:hyperlink>
    </w:p>
    <w:bookmarkEnd w:id="138"/>
    <w:bookmarkStart w:id="140"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39">
        <w:r>
          <w:rPr>
            <w:rStyle w:val="Hyperlink"/>
          </w:rPr>
          <w:t xml:space="preserve">https://doi.org/10.1111/ecog.04960</w:t>
        </w:r>
      </w:hyperlink>
    </w:p>
    <w:bookmarkEnd w:id="140"/>
    <w:bookmarkEnd w:id="141"/>
    <w:p>
      <w:r>
        <w:br w:type="page"/>
      </w:r>
    </w:p>
    <w:bookmarkEnd w:id="142"/>
    <w:bookmarkStart w:id="144" w:name="appendix-a-odmap"/>
    <w:p>
      <w:pPr>
        <w:pStyle w:val="Heading1"/>
      </w:pPr>
      <w:r>
        <w:t xml:space="preserve">Appendix A: ODMAP</w:t>
      </w:r>
    </w:p>
    <w:bookmarkStart w:id="143"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gradient boosted trees (GBTs),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(ROC)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(XXXX)</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(XXXX)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43"/>
    <w:bookmarkEnd w:id="144"/>
    <w:bookmarkStart w:id="154"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Findings from previous research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Preference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(2009) and (2015).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Worrall et al. (2013) and Greer et al. (2016).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Idenified as important predictor by Worrall et al. (2013)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Worrall et al. (2013).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5"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TD</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Idenified as important predictor by Worrall et al. (2013)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57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Temperature-precip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DD_0</w:t>
            </w:r>
          </w:p>
        </w:tc>
      </w:tr>
      <w:tr>
        <w:trPr>
          <w:trHeight w:val="415"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(2015) and Worrall et al. (2013)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Temperature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Identified as important predictor by Rehfeldt et al. (2009), Worrall et al. (2013), and Greer et al. (2016).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(r≥0.75) with ADI</w:t>
            </w:r>
          </w:p>
        </w:tc>
      </w:tr>
    </w:tbl>
    <w:p>
      <w:pPr>
        <w:pStyle w:val="CaptionedFigure"/>
      </w:pPr>
      <w:r>
        <w:drawing>
          <wp:inline>
            <wp:extent cx="6400800" cy="6400800"/>
            <wp:effectExtent b="0" l="0" r="0" t="0"/>
            <wp:docPr descr="Figure 9: Spearman’s correlation coefficients between pairs of climate predictor variables" title="" id="146" name="Picture"/>
            <a:graphic>
              <a:graphicData uri="http://schemas.openxmlformats.org/drawingml/2006/picture">
                <pic:pic>
                  <pic:nvPicPr>
                    <pic:cNvPr descr="../Results/Figures/CorrelationMatrix.jpg" id="147" name="Picture"/>
                    <pic:cNvPicPr>
                      <a:picLocks noChangeArrowheads="1" noChangeAspect="1"/>
                    </pic:cNvPicPr>
                  </pic:nvPicPr>
                  <pic:blipFill>
                    <a:blip r:embed="rId145"/>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9: Spearman’s correlation coefficients between pairs of climate predictor variables</w:t>
      </w:r>
    </w:p>
    <w:p>
      <w:pPr>
        <w:pStyle w:val="CaptionedFigure"/>
      </w:pPr>
      <w:r>
        <w:drawing>
          <wp:inline>
            <wp:extent cx="3239999" cy="4319999"/>
            <wp:effectExtent b="0" l="0" r="0" t="0"/>
            <wp:docPr descr="Figure 10: Contribution of climate predictor variables to univariate random forests models" title="" id="149" name="Picture"/>
            <a:graphic>
              <a:graphicData uri="http://schemas.openxmlformats.org/drawingml/2006/picture">
                <pic:pic>
                  <pic:nvPicPr>
                    <pic:cNvPr descr="../Results/Figures/climatevarselection-bar.jpg" id="150" name="Picture"/>
                    <pic:cNvPicPr>
                      <a:picLocks noChangeArrowheads="1" noChangeAspect="1"/>
                    </pic:cNvPicPr>
                  </pic:nvPicPr>
                  <pic:blipFill>
                    <a:blip r:embed="rId148"/>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10: Contribution of climate predictor variables to univariate random forests models</w:t>
      </w:r>
    </w:p>
    <w:p>
      <w:pPr>
        <w:pStyle w:val="CaptionedFigure"/>
      </w:pPr>
      <w:r>
        <w:drawing>
          <wp:inline>
            <wp:extent cx="6400800" cy="6400800"/>
            <wp:effectExtent b="0" l="0" r="0" t="0"/>
            <wp:docPr descr="Figure 11: Paired violin plots illustrating the" title="" id="152" name="Picture"/>
            <a:graphic>
              <a:graphicData uri="http://schemas.openxmlformats.org/drawingml/2006/picture">
                <pic:pic>
                  <pic:nvPicPr>
                    <pic:cNvPr descr="../Results/Figures/climate-violin.jpg" id="153" name="Picture"/>
                    <pic:cNvPicPr>
                      <a:picLocks noChangeArrowheads="1" noChangeAspect="1"/>
                    </pic:cNvPicPr>
                  </pic:nvPicPr>
                  <pic:blipFill>
                    <a:blip r:embed="rId151"/>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11: Paired violin plots illustrating the</w:t>
      </w:r>
    </w:p>
    <w:bookmarkEnd w:id="154"/>
    <w:bookmarkStart w:id="161" w:name="appendix-c-model-performance"/>
    <w:p>
      <w:pPr>
        <w:pStyle w:val="Heading1"/>
      </w:pPr>
      <w:r>
        <w:t xml:space="preserve">Appendix C: Model Performance</w:t>
      </w:r>
    </w:p>
    <w:p>
      <w:pPr>
        <w:pStyle w:val="TableCaption"/>
      </w:pPr>
      <w:r>
        <w:t xml:space="preserve">Table 5:</w:t>
      </w:r>
      <w:r>
        <w:t xml:space="preserve"> </w:t>
      </w:r>
      <w:r>
        <w:t xml:space="preserve">Model performance statistics from spatial cross-validation. Values show the mean ± one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 ± 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0.71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0.38 ± 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0.66 ± 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0.66 ± 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 ± 0.08</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 ± 0.08</w:t>
            </w:r>
          </w:p>
        </w:tc>
      </w:tr>
      <w:tr>
        <w:trPr>
          <w:trHeight w:val="36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GBT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 ± 0.1</w:t>
            </w:r>
          </w:p>
        </w:tc>
      </w:tr>
    </w:tbl>
    <w:p>
      <w:pPr>
        <w:pStyle w:val="CaptionedFigure"/>
      </w:pPr>
      <w:r>
        <w:drawing>
          <wp:inline>
            <wp:extent cx="6400800" cy="2133600"/>
            <wp:effectExtent b="0" l="0" r="0" t="0"/>
            <wp:docPr descr="Figure 12: The relationship between geographic position and model performance." title="" id="156" name="Picture"/>
            <a:graphic>
              <a:graphicData uri="http://schemas.openxmlformats.org/drawingml/2006/picture">
                <pic:pic>
                  <pic:nvPicPr>
                    <pic:cNvPr descr="../Results/Figures/ensemeble-error-pattern.jpg" id="157" name="Picture"/>
                    <pic:cNvPicPr>
                      <a:picLocks noChangeArrowheads="1" noChangeAspect="1"/>
                    </pic:cNvPicPr>
                  </pic:nvPicPr>
                  <pic:blipFill>
                    <a:blip r:embed="rId155"/>
                    <a:stretch>
                      <a:fillRect/>
                    </a:stretch>
                  </pic:blipFill>
                  <pic:spPr bwMode="auto">
                    <a:xfrm>
                      <a:off x="0" y="0"/>
                      <a:ext cx="6400800" cy="2133600"/>
                    </a:xfrm>
                    <a:prstGeom prst="rect">
                      <a:avLst/>
                    </a:prstGeom>
                    <a:noFill/>
                    <a:ln w="9525">
                      <a:noFill/>
                      <a:headEnd/>
                      <a:tailEnd/>
                    </a:ln>
                  </pic:spPr>
                </pic:pic>
              </a:graphicData>
            </a:graphic>
          </wp:inline>
        </w:drawing>
      </w:r>
    </w:p>
    <w:p>
      <w:pPr>
        <w:pStyle w:val="ImageCaption"/>
      </w:pPr>
      <w:r>
        <w:t xml:space="preserve">Figure 12: The relationship between geographic position and model performance.</w:t>
      </w:r>
    </w:p>
    <w:p>
      <w:pPr>
        <w:pStyle w:val="CaptionedFigure"/>
      </w:pPr>
      <w:r>
        <w:drawing>
          <wp:inline>
            <wp:extent cx="6400800" cy="2971800"/>
            <wp:effectExtent b="0" l="0" r="0" t="0"/>
            <wp:docPr descr="Figure 13: The relationship between geographic position and model performance." title="" id="159" name="Picture"/>
            <a:graphic>
              <a:graphicData uri="http://schemas.openxmlformats.org/drawingml/2006/picture">
                <pic:pic>
                  <pic:nvPicPr>
                    <pic:cNvPr descr="../Results/Figures/FigMaps.jpg" id="160" name="Picture"/>
                    <pic:cNvPicPr>
                      <a:picLocks noChangeArrowheads="1" noChangeAspect="1"/>
                    </pic:cNvPicPr>
                  </pic:nvPicPr>
                  <pic:blipFill>
                    <a:blip r:embed="rId158"/>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13: The relationship between geographic position and model performance.</w:t>
      </w:r>
    </w:p>
    <w:p>
      <w:r>
        <w:br w:type="page"/>
      </w:r>
    </w:p>
    <w:bookmarkEnd w:id="161"/>
    <w:bookmarkStart w:id="162" w:name="appendix-d"/>
    <w:p>
      <w:pPr>
        <w:pStyle w:val="Heading1"/>
      </w:pPr>
      <w:r>
        <w:t xml:space="preserve">Appendix D</w:t>
      </w:r>
    </w:p>
    <w:bookmarkEnd w:id="162"/>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45" Target="media/rId145.jpg" /><Relationship Type="http://schemas.openxmlformats.org/officeDocument/2006/relationships/image" Id="rId43" Target="media/rId43.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image" Id="rId158" Target="media/rId158.jpg" /><Relationship Type="http://schemas.openxmlformats.org/officeDocument/2006/relationships/image" Id="rId23" Target="media/rId23.jpg" /><Relationship Type="http://schemas.openxmlformats.org/officeDocument/2006/relationships/image" Id="rId46" Target="media/rId46.jpg" /><Relationship Type="http://schemas.openxmlformats.org/officeDocument/2006/relationships/image" Id="rId151" Target="media/rId151.jpg" /><Relationship Type="http://schemas.openxmlformats.org/officeDocument/2006/relationships/image" Id="rId148" Target="media/rId148.jpg" /><Relationship Type="http://schemas.openxmlformats.org/officeDocument/2006/relationships/image" Id="rId155" Target="media/rId155.jpg" /><Relationship Type="http://schemas.openxmlformats.org/officeDocument/2006/relationships/image" Id="rId58" Target="media/rId58.jpg" /><Relationship Type="http://schemas.openxmlformats.org/officeDocument/2006/relationships/image" Id="rId49" Target="media/rId49.jpg" /><Relationship Type="http://schemas.openxmlformats.org/officeDocument/2006/relationships/image" Id="rId40" Target="media/rId40.jpg" /><Relationship Type="http://schemas.openxmlformats.org/officeDocument/2006/relationships/hyperlink" Id="rId81" Target="http://pubs.er.usgs.gov/publication/pp1794A8" TargetMode="External" /><Relationship Type="http://schemas.openxmlformats.org/officeDocument/2006/relationships/hyperlink" Id="rId116" Target="http://www.R-project.org" TargetMode="External" /><Relationship Type="http://schemas.openxmlformats.org/officeDocument/2006/relationships/hyperlink" Id="rId66" Target="https://Available at adaptwest.databasin.org." TargetMode="External" /><Relationship Type="http://schemas.openxmlformats.org/officeDocument/2006/relationships/hyperlink" Id="rId77" Target="https://CRAN.R-project.org/package=xgboost" TargetMode="External" /><Relationship Type="http://schemas.openxmlformats.org/officeDocument/2006/relationships/hyperlink" Id="rId103" Target="https://doi.org/10.1002/joc.7566" TargetMode="External" /><Relationship Type="http://schemas.openxmlformats.org/officeDocument/2006/relationships/hyperlink" Id="rId96" Target="https://doi.org/10.1002/rse2.7" TargetMode="External" /><Relationship Type="http://schemas.openxmlformats.org/officeDocument/2006/relationships/hyperlink" Id="rId109" Target="https://doi.org/10.1016/S0168-1923(98)00102-6" TargetMode="External" /><Relationship Type="http://schemas.openxmlformats.org/officeDocument/2006/relationships/hyperlink" Id="rId120" Target="https://doi.org/10.1016/j.gloenvcha.2016.05.009" TargetMode="External" /><Relationship Type="http://schemas.openxmlformats.org/officeDocument/2006/relationships/hyperlink" Id="rId75" Target="https://doi.org/10.1029/2018WR022797" TargetMode="External" /><Relationship Type="http://schemas.openxmlformats.org/officeDocument/2006/relationships/hyperlink" Id="rId94" Target="https://doi.org/10.1038/d41586-022-01192-2" TargetMode="External" /><Relationship Type="http://schemas.openxmlformats.org/officeDocument/2006/relationships/hyperlink" Id="rId118" Target="https://doi.org/10.1093/forestry/cpv019" TargetMode="External" /><Relationship Type="http://schemas.openxmlformats.org/officeDocument/2006/relationships/hyperlink" Id="rId139" Target="https://doi.org/10.1111/ecog.04960" TargetMode="External" /><Relationship Type="http://schemas.openxmlformats.org/officeDocument/2006/relationships/hyperlink" Id="rId87" Target="https://doi.org/10.1111/gcb.12051" TargetMode="External" /><Relationship Type="http://schemas.openxmlformats.org/officeDocument/2006/relationships/hyperlink" Id="rId91" Target="https://doi.org/10.1111/geb.12381" TargetMode="External" /><Relationship Type="http://schemas.openxmlformats.org/officeDocument/2006/relationships/hyperlink" Id="rId124" Target="https://doi.org/10.1111/geb.13174" TargetMode="External" /><Relationship Type="http://schemas.openxmlformats.org/officeDocument/2006/relationships/hyperlink" Id="rId126" Target="https://doi.org/10.1111/j.0906-7590.2004.03673.x" TargetMode="External" /><Relationship Type="http://schemas.openxmlformats.org/officeDocument/2006/relationships/hyperlink" Id="rId68" Target="https://doi.org/10.1126/sciadv.aat4858" TargetMode="External" /><Relationship Type="http://schemas.openxmlformats.org/officeDocument/2006/relationships/hyperlink" Id="rId85" Target="https://doi.org/10.1186/2192-1709-1-2" TargetMode="External" /><Relationship Type="http://schemas.openxmlformats.org/officeDocument/2006/relationships/hyperlink" Id="rId134" Target="https://doi.org/10.1371/journal.pone.0156720" TargetMode="External" /><Relationship Type="http://schemas.openxmlformats.org/officeDocument/2006/relationships/hyperlink" Id="rId89" Target="https://doi.org/10.18637/jss.v033.i01" TargetMode="External" /><Relationship Type="http://schemas.openxmlformats.org/officeDocument/2006/relationships/hyperlink" Id="rId137" Target="https://doi.org/10.18637/jss.v077.i01" TargetMode="External" /><Relationship Type="http://schemas.openxmlformats.org/officeDocument/2006/relationships/hyperlink" Id="rId132" Target="https://doi.org/10.1890/1051-0761(2000)010[1178:CAHIOF]2.0.CO;2" TargetMode="External" /><Relationship Type="http://schemas.openxmlformats.org/officeDocument/2006/relationships/hyperlink" Id="rId73" Target="https://doi.org/10.1890/1051-0761(2006)016[1132:CTLDOA]2.0.CO;2" TargetMode="External" /><Relationship Type="http://schemas.openxmlformats.org/officeDocument/2006/relationships/hyperlink" Id="rId130" Target="https://doi.org/10.2307/2261392" TargetMode="External" /><Relationship Type="http://schemas.openxmlformats.org/officeDocument/2006/relationships/hyperlink" Id="rId122" Target="https://doi.org/10.3390/rs13061089" TargetMode="External" /><Relationship Type="http://schemas.openxmlformats.org/officeDocument/2006/relationships/hyperlink" Id="rId101" Target="https://doi.org/10.48550/arXiv.2303.07334" TargetMode="External" /><Relationship Type="http://schemas.openxmlformats.org/officeDocument/2006/relationships/hyperlink" Id="rId111" Target="https://doi.org/10.7287/peerj.preprints.27320v1" TargetMode="External" /><Relationship Type="http://schemas.openxmlformats.org/officeDocument/2006/relationships/hyperlink" Id="rId128" Target="https://elevation.nationalmap.gov/arcgis/rest/services/3DEPElevation/ImageServer." TargetMode="External" /><Relationship Type="http://schemas.openxmlformats.org/officeDocument/2006/relationships/hyperlink" Id="rId83" Target="https://github.com/jeffreyevans/spatialEco" TargetMode="External" /><Relationship Type="http://schemas.openxmlformats.org/officeDocument/2006/relationships/hyperlink" Id="rId71" Target="https://jmlr.org/papers/v19/18-416.html" TargetMode="External" /><Relationship Type="http://schemas.openxmlformats.org/officeDocument/2006/relationships/hyperlink" Id="rId114" Target="https://prism.oregonstate.edu/normals/" TargetMode="External" /><Relationship Type="http://schemas.openxmlformats.org/officeDocument/2006/relationships/hyperlink" Id="rId107" Target="https://www.jstor.org/stable/3236745" TargetMode="External" /><Relationship Type="http://schemas.openxmlformats.org/officeDocument/2006/relationships/hyperlink" Id="rId105" Target="https://www.jstor.org/stable/4499284" TargetMode="External" /><Relationship Type="http://schemas.openxmlformats.org/officeDocument/2006/relationships/hyperlink" Id="rId9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81" Target="http://pubs.er.usgs.gov/publication/pp1794A8" TargetMode="External" /><Relationship Type="http://schemas.openxmlformats.org/officeDocument/2006/relationships/hyperlink" Id="rId116" Target="http://www.R-project.org" TargetMode="External" /><Relationship Type="http://schemas.openxmlformats.org/officeDocument/2006/relationships/hyperlink" Id="rId66" Target="https://Available at adaptwest.databasin.org." TargetMode="External" /><Relationship Type="http://schemas.openxmlformats.org/officeDocument/2006/relationships/hyperlink" Id="rId77" Target="https://CRAN.R-project.org/package=xgboost" TargetMode="External" /><Relationship Type="http://schemas.openxmlformats.org/officeDocument/2006/relationships/hyperlink" Id="rId103" Target="https://doi.org/10.1002/joc.7566" TargetMode="External" /><Relationship Type="http://schemas.openxmlformats.org/officeDocument/2006/relationships/hyperlink" Id="rId96" Target="https://doi.org/10.1002/rse2.7" TargetMode="External" /><Relationship Type="http://schemas.openxmlformats.org/officeDocument/2006/relationships/hyperlink" Id="rId109" Target="https://doi.org/10.1016/S0168-1923(98)00102-6" TargetMode="External" /><Relationship Type="http://schemas.openxmlformats.org/officeDocument/2006/relationships/hyperlink" Id="rId120" Target="https://doi.org/10.1016/j.gloenvcha.2016.05.009" TargetMode="External" /><Relationship Type="http://schemas.openxmlformats.org/officeDocument/2006/relationships/hyperlink" Id="rId75" Target="https://doi.org/10.1029/2018WR022797" TargetMode="External" /><Relationship Type="http://schemas.openxmlformats.org/officeDocument/2006/relationships/hyperlink" Id="rId94" Target="https://doi.org/10.1038/d41586-022-01192-2" TargetMode="External" /><Relationship Type="http://schemas.openxmlformats.org/officeDocument/2006/relationships/hyperlink" Id="rId118" Target="https://doi.org/10.1093/forestry/cpv019" TargetMode="External" /><Relationship Type="http://schemas.openxmlformats.org/officeDocument/2006/relationships/hyperlink" Id="rId139" Target="https://doi.org/10.1111/ecog.04960" TargetMode="External" /><Relationship Type="http://schemas.openxmlformats.org/officeDocument/2006/relationships/hyperlink" Id="rId87" Target="https://doi.org/10.1111/gcb.12051" TargetMode="External" /><Relationship Type="http://schemas.openxmlformats.org/officeDocument/2006/relationships/hyperlink" Id="rId91" Target="https://doi.org/10.1111/geb.12381" TargetMode="External" /><Relationship Type="http://schemas.openxmlformats.org/officeDocument/2006/relationships/hyperlink" Id="rId124" Target="https://doi.org/10.1111/geb.13174" TargetMode="External" /><Relationship Type="http://schemas.openxmlformats.org/officeDocument/2006/relationships/hyperlink" Id="rId126" Target="https://doi.org/10.1111/j.0906-7590.2004.03673.x" TargetMode="External" /><Relationship Type="http://schemas.openxmlformats.org/officeDocument/2006/relationships/hyperlink" Id="rId68" Target="https://doi.org/10.1126/sciadv.aat4858" TargetMode="External" /><Relationship Type="http://schemas.openxmlformats.org/officeDocument/2006/relationships/hyperlink" Id="rId85" Target="https://doi.org/10.1186/2192-1709-1-2" TargetMode="External" /><Relationship Type="http://schemas.openxmlformats.org/officeDocument/2006/relationships/hyperlink" Id="rId134" Target="https://doi.org/10.1371/journal.pone.0156720" TargetMode="External" /><Relationship Type="http://schemas.openxmlformats.org/officeDocument/2006/relationships/hyperlink" Id="rId89" Target="https://doi.org/10.18637/jss.v033.i01" TargetMode="External" /><Relationship Type="http://schemas.openxmlformats.org/officeDocument/2006/relationships/hyperlink" Id="rId137" Target="https://doi.org/10.18637/jss.v077.i01" TargetMode="External" /><Relationship Type="http://schemas.openxmlformats.org/officeDocument/2006/relationships/hyperlink" Id="rId132" Target="https://doi.org/10.1890/1051-0761(2000)010[1178:CAHIOF]2.0.CO;2" TargetMode="External" /><Relationship Type="http://schemas.openxmlformats.org/officeDocument/2006/relationships/hyperlink" Id="rId73" Target="https://doi.org/10.1890/1051-0761(2006)016[1132:CTLDOA]2.0.CO;2" TargetMode="External" /><Relationship Type="http://schemas.openxmlformats.org/officeDocument/2006/relationships/hyperlink" Id="rId130" Target="https://doi.org/10.2307/2261392" TargetMode="External" /><Relationship Type="http://schemas.openxmlformats.org/officeDocument/2006/relationships/hyperlink" Id="rId122" Target="https://doi.org/10.3390/rs13061089" TargetMode="External" /><Relationship Type="http://schemas.openxmlformats.org/officeDocument/2006/relationships/hyperlink" Id="rId101" Target="https://doi.org/10.48550/arXiv.2303.07334" TargetMode="External" /><Relationship Type="http://schemas.openxmlformats.org/officeDocument/2006/relationships/hyperlink" Id="rId111" Target="https://doi.org/10.7287/peerj.preprints.27320v1" TargetMode="External" /><Relationship Type="http://schemas.openxmlformats.org/officeDocument/2006/relationships/hyperlink" Id="rId128" Target="https://elevation.nationalmap.gov/arcgis/rest/services/3DEPElevation/ImageServer." TargetMode="External" /><Relationship Type="http://schemas.openxmlformats.org/officeDocument/2006/relationships/hyperlink" Id="rId83" Target="https://github.com/jeffreyevans/spatialEco" TargetMode="External" /><Relationship Type="http://schemas.openxmlformats.org/officeDocument/2006/relationships/hyperlink" Id="rId71" Target="https://jmlr.org/papers/v19/18-416.html" TargetMode="External" /><Relationship Type="http://schemas.openxmlformats.org/officeDocument/2006/relationships/hyperlink" Id="rId114" Target="https://prism.oregonstate.edu/normals/" TargetMode="External" /><Relationship Type="http://schemas.openxmlformats.org/officeDocument/2006/relationships/hyperlink" Id="rId107" Target="https://www.jstor.org/stable/3236745" TargetMode="External" /><Relationship Type="http://schemas.openxmlformats.org/officeDocument/2006/relationships/hyperlink" Id="rId105" Target="https://www.jstor.org/stable/4499284" TargetMode="External" /><Relationship Type="http://schemas.openxmlformats.org/officeDocument/2006/relationships/hyperlink" Id="rId9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 Josh Carrell, Maxwell Cook</dc:creator>
  <cp:keywords/>
  <dcterms:created xsi:type="dcterms:W3CDTF">2023-09-29T15:48:51Z</dcterms:created>
  <dcterms:modified xsi:type="dcterms:W3CDTF">2023-09-29T15:48:51Z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